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/>
    <w:p/>
    <w:p/>
    <w:p/>
    <w:p>
      <w:r>
        <w:t xml:space="preserve">An die </w:t>
      </w:r>
    </w:p>
    <w:p>
      <w:r>
        <w:t>Clearingstelle Raumordnung</w:t>
      </w:r>
      <w:bookmarkStart w:id="0" w:name="_GoBack"/>
      <w:bookmarkEnd w:id="0"/>
    </w:p>
    <w:p/>
    <w:p>
      <w:r>
        <w:t>c/o Gruppe Raumordnung, Umwelt und Verkehr</w:t>
      </w:r>
    </w:p>
    <w:p/>
    <w:p/>
    <w:p/>
    <w:p>
      <w:fldSimple w:instr=" DATE   \* MERGEFORMAT ">
        <w:r>
          <w:rPr>
            <w:noProof/>
          </w:rPr>
          <w:t>21.04.2017</w:t>
        </w:r>
      </w:fldSimple>
    </w:p>
    <w:p/>
    <w:p/>
    <w:p>
      <w:pPr>
        <w:rPr>
          <w:b/>
        </w:rPr>
      </w:pPr>
      <w:r>
        <w:rPr>
          <w:b/>
        </w:rPr>
        <w:t xml:space="preserve">Betrifft: </w:t>
      </w:r>
      <w:r>
        <w:rPr>
          <w:b/>
        </w:rPr>
        <w:tab/>
        <w:t xml:space="preserve">Gemeinde </w:t>
      </w:r>
      <w:r>
        <w:rPr>
          <w:b/>
          <w:highlight w:val="yellow"/>
        </w:rPr>
        <w:t>*Mustergemeinde*</w:t>
      </w:r>
      <w:r>
        <w:rPr>
          <w:b/>
        </w:rPr>
        <w:t>: Änderung des örtlichen Raumordnungsprogramms Nr</w:t>
      </w:r>
      <w:r>
        <w:rPr>
          <w:b/>
          <w:highlight w:val="yellow"/>
        </w:rPr>
        <w:t>. xx</w:t>
      </w:r>
    </w:p>
    <w:p>
      <w:pPr>
        <w:ind w:firstLine="708"/>
        <w:rPr>
          <w:b/>
        </w:rPr>
      </w:pPr>
      <w:r>
        <w:rPr>
          <w:b/>
        </w:rPr>
        <w:t>Ersteinschätzung von Planungsvorhaben</w:t>
      </w:r>
    </w:p>
    <w:p/>
    <w:p/>
    <w:p>
      <w:r>
        <w:t xml:space="preserve">Die Gemeinde </w:t>
      </w:r>
      <w:r>
        <w:rPr>
          <w:highlight w:val="yellow"/>
        </w:rPr>
        <w:t>*Mustergemeinde*</w:t>
      </w:r>
      <w:r>
        <w:t xml:space="preserve"> beabsichtigt, das örtliche Raumordnungsprogramm zu ändern. Die geplanten Änderungspunkte wurden einer fachlichen Ersteinschätzung unterzogen. </w:t>
      </w:r>
    </w:p>
    <w:p/>
    <w:p>
      <w:r>
        <w:t>Aus Sicht des konsultierten Ortsplaners stellen die folgenden Änderungspunkte nur geringfügige Änderungen dar, die aus Sicht des Ortsplaners keinen vertieften Untersuchungsbedarf erfordern:</w:t>
      </w:r>
    </w:p>
    <w:p>
      <w:pPr>
        <w:numPr>
          <w:ilvl w:val="0"/>
          <w:numId w:val="35"/>
        </w:numPr>
      </w:pPr>
      <w:r>
        <w:t xml:space="preserve">Änderungspunkte Nr. </w:t>
      </w:r>
      <w:r>
        <w:rPr>
          <w:highlight w:val="yellow"/>
        </w:rPr>
        <w:t>x bis xx</w:t>
      </w:r>
    </w:p>
    <w:p>
      <w:pPr>
        <w:numPr>
          <w:ilvl w:val="0"/>
          <w:numId w:val="35"/>
        </w:numPr>
        <w:spacing w:after="120"/>
        <w:ind w:left="714" w:hanging="357"/>
      </w:pPr>
      <w:r>
        <w:t xml:space="preserve">Änderungspunkt Nr. </w:t>
      </w:r>
      <w:r>
        <w:rPr>
          <w:highlight w:val="yellow"/>
        </w:rPr>
        <w:t>x</w:t>
      </w:r>
    </w:p>
    <w:p>
      <w:r>
        <w:t xml:space="preserve">Bei diesen Punkten konnte daher auf das Ausfüllen der Checkliste „Ersteinschätzung von Planungsvorhaben“ verzichtet werden. </w:t>
      </w:r>
    </w:p>
    <w:p/>
    <w:p>
      <w:r>
        <w:t xml:space="preserve">Bei </w:t>
      </w:r>
      <w:r>
        <w:rPr>
          <w:highlight w:val="yellow"/>
        </w:rPr>
        <w:t>dem folgenden Änderungspunkt/den folgenden Änderungspunkten</w:t>
      </w:r>
      <w:r>
        <w:t xml:space="preserve"> können mögliche Versagensgründe bzw. ein erhöhter Verfahrensaufwand nicht von vornherein ausgeschlossen werden:</w:t>
      </w:r>
    </w:p>
    <w:p>
      <w:pPr>
        <w:numPr>
          <w:ilvl w:val="0"/>
          <w:numId w:val="35"/>
        </w:numPr>
      </w:pPr>
      <w:r>
        <w:t xml:space="preserve">Änderungspunkte Nr. </w:t>
      </w:r>
      <w:r>
        <w:rPr>
          <w:highlight w:val="yellow"/>
        </w:rPr>
        <w:t>x bis xx</w:t>
      </w:r>
    </w:p>
    <w:p>
      <w:pPr>
        <w:numPr>
          <w:ilvl w:val="0"/>
          <w:numId w:val="35"/>
        </w:numPr>
        <w:spacing w:after="120"/>
        <w:ind w:left="714" w:hanging="357"/>
      </w:pPr>
      <w:r>
        <w:t xml:space="preserve">Änderungspunkt Nr. </w:t>
      </w:r>
      <w:r>
        <w:rPr>
          <w:highlight w:val="yellow"/>
        </w:rPr>
        <w:t>x</w:t>
      </w:r>
    </w:p>
    <w:p>
      <w:r>
        <w:t xml:space="preserve">Die ausgefüllte Checkliste „Ersteinschätzung von Planungsvorhaben“ für </w:t>
      </w:r>
      <w:r>
        <w:rPr>
          <w:highlight w:val="yellow"/>
        </w:rPr>
        <w:t>den genannten Änderungspunkt/die genannten Änderungspunkte</w:t>
      </w:r>
      <w:r>
        <w:t xml:space="preserve"> </w:t>
      </w:r>
      <w:r>
        <w:rPr>
          <w:highlight w:val="yellow"/>
        </w:rPr>
        <w:t xml:space="preserve">sowie ihre plangrafische Verortung/Darstellung </w:t>
      </w:r>
      <w:r>
        <w:t xml:space="preserve">liegt bei. </w:t>
      </w:r>
    </w:p>
    <w:p/>
    <w:p/>
    <w:p/>
    <w:p>
      <w:r>
        <w:t>Unterschrift des Ortsplaners</w:t>
      </w:r>
    </w:p>
    <w:p/>
    <w:p/>
    <w:p/>
    <w:p>
      <w:r>
        <w:t xml:space="preserve">Beilagen: </w:t>
      </w:r>
    </w:p>
    <w:p>
      <w:r>
        <w:t xml:space="preserve">Checkliste „Ersteinschätzung bei </w:t>
      </w:r>
      <w:proofErr w:type="spellStart"/>
      <w:r>
        <w:t>Widmungsverfahren</w:t>
      </w:r>
      <w:proofErr w:type="spellEnd"/>
      <w:r>
        <w:t xml:space="preserve">“ </w:t>
      </w:r>
      <w:r>
        <w:rPr>
          <w:highlight w:val="yellow"/>
        </w:rPr>
        <w:t>Änderungspunkt x/Änderungspunkte x-xx</w:t>
      </w:r>
      <w:r>
        <w:t xml:space="preserve"> </w:t>
      </w:r>
    </w:p>
    <w:p>
      <w:r>
        <w:t>Plandarstellung mit Verortung der Änderungspunkte</w:t>
      </w:r>
    </w:p>
    <w:p/>
    <w:p/>
    <w:p/>
    <w:p/>
    <w:p/>
    <w:p>
      <w:pPr>
        <w:rPr>
          <w:b/>
        </w:rPr>
      </w:pPr>
      <w:r>
        <w:rPr>
          <w:b/>
        </w:rPr>
        <w:t>Allgemeine Hinweise:</w:t>
      </w:r>
    </w:p>
    <w:p>
      <w:r>
        <w:t xml:space="preserve">Die Ersteinschätzung stellt die fachliche Einschätzung, basierend auf dem Kenntnisstand zum Zeitpunkt der Konsultation dar und ersetzt nicht eine vollständige Grundlagenforschung. </w:t>
      </w:r>
    </w:p>
    <w:p/>
    <w:p>
      <w:r>
        <w:t xml:space="preserve">Eine vollständige und gründliche Aufbereitung der Änderungsunterlagen wird durch diese Vorbeurteilung nicht ersetzt. Die Ergebnisse einer vollständigen und umfassenden Prüfung von Planungsvorhaben können durch diese Vorbeurteilung nicht vorweggenommen werden. </w:t>
      </w:r>
    </w:p>
    <w:p/>
    <w:sectPr>
      <w:footerReference w:type="default" r:id="rId8"/>
      <w:pgSz w:w="11907" w:h="16840" w:code="9"/>
      <w:pgMar w:top="1418" w:right="1418" w:bottom="1134" w:left="1418" w:header="720" w:footer="720" w:gutter="0"/>
      <w:pgNumType w:chapSep="period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rPr>
        <w:sz w:val="12"/>
      </w:rPr>
    </w:pP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>
      <w:rPr>
        <w:noProof/>
        <w:snapToGrid w:val="0"/>
        <w:sz w:val="12"/>
      </w:rPr>
      <w:t>K:\Projekte\17_16_ScreeningBreitenau\Breitenau_ScreeningScoping_Begleitbrief_RU1.doc</w:t>
    </w:r>
    <w:r>
      <w:rPr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5C5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DA6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BAC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483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3EA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FC67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CC9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9ADD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94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587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C5EC8"/>
    <w:multiLevelType w:val="hybridMultilevel"/>
    <w:tmpl w:val="D0886E9A"/>
    <w:lvl w:ilvl="0" w:tplc="BFBC45AE">
      <w:start w:val="1"/>
      <w:numFmt w:val="bullet"/>
      <w:lvlText w:val="—"/>
      <w:lvlJc w:val="left"/>
      <w:pPr>
        <w:tabs>
          <w:tab w:val="num" w:pos="510"/>
        </w:tabs>
        <w:ind w:left="2160" w:hanging="2160"/>
      </w:pPr>
      <w:rPr>
        <w:rFonts w:ascii="Arial" w:hAnsi="Arial" w:hint="default"/>
      </w:rPr>
    </w:lvl>
    <w:lvl w:ilvl="1" w:tplc="9E14F14E">
      <w:start w:val="1"/>
      <w:numFmt w:val="bullet"/>
      <w:lvlText w:val="–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color w:val="auto"/>
      </w:rPr>
    </w:lvl>
    <w:lvl w:ilvl="2" w:tplc="DE8C1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8E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E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B0B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AB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44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DEB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184399"/>
    <w:multiLevelType w:val="multilevel"/>
    <w:tmpl w:val="60981130"/>
    <w:lvl w:ilvl="0">
      <w:start w:val="1"/>
      <w:numFmt w:val="bullet"/>
      <w:lvlText w:val="—"/>
      <w:lvlJc w:val="left"/>
      <w:pPr>
        <w:tabs>
          <w:tab w:val="num" w:pos="510"/>
        </w:tabs>
        <w:ind w:left="2160" w:hanging="21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9138E9"/>
    <w:multiLevelType w:val="multilevel"/>
    <w:tmpl w:val="E8D0FEE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648"/>
        </w:tabs>
        <w:ind w:left="648" w:hanging="576"/>
      </w:pPr>
      <w:rPr>
        <w:rFonts w:hint="default"/>
      </w:rPr>
    </w:lvl>
    <w:lvl w:ilvl="2">
      <w:start w:val="1"/>
      <w:numFmt w:val="decimal"/>
      <w:lvlRestart w:val="0"/>
      <w:pStyle w:val="berschrift3"/>
      <w:isLgl/>
      <w:lvlText w:val="%2%1..%3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"/>
        </w:tabs>
        <w:ind w:left="12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584"/>
      </w:pPr>
      <w:rPr>
        <w:rFonts w:hint="default"/>
      </w:rPr>
    </w:lvl>
  </w:abstractNum>
  <w:abstractNum w:abstractNumId="13">
    <w:nsid w:val="0DEA6E6C"/>
    <w:multiLevelType w:val="hybridMultilevel"/>
    <w:tmpl w:val="DCC88A32"/>
    <w:lvl w:ilvl="0" w:tplc="53427DE0">
      <w:start w:val="1"/>
      <w:numFmt w:val="bullet"/>
      <w:lvlText w:val="—"/>
      <w:lvlJc w:val="left"/>
      <w:pPr>
        <w:tabs>
          <w:tab w:val="num" w:pos="510"/>
        </w:tabs>
        <w:ind w:left="2160" w:hanging="2160"/>
      </w:pPr>
      <w:rPr>
        <w:rFonts w:ascii="Arial" w:hAnsi="Arial" w:hint="default"/>
      </w:rPr>
    </w:lvl>
    <w:lvl w:ilvl="1" w:tplc="9E42B598">
      <w:start w:val="1"/>
      <w:numFmt w:val="bullet"/>
      <w:lvlText w:val="–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color w:val="auto"/>
      </w:rPr>
    </w:lvl>
    <w:lvl w:ilvl="2" w:tplc="38E4F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A3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49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C84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09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34C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EF5F2A"/>
    <w:multiLevelType w:val="multilevel"/>
    <w:tmpl w:val="CCCC6B5C"/>
    <w:lvl w:ilvl="0">
      <w:start w:val="1"/>
      <w:numFmt w:val="bullet"/>
      <w:lvlText w:val="—"/>
      <w:lvlJc w:val="left"/>
      <w:pPr>
        <w:tabs>
          <w:tab w:val="num" w:pos="510"/>
        </w:tabs>
        <w:ind w:left="2160" w:hanging="21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021"/>
        </w:tabs>
        <w:ind w:left="907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403903"/>
    <w:multiLevelType w:val="hybridMultilevel"/>
    <w:tmpl w:val="EAEAD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EA6F32"/>
    <w:multiLevelType w:val="hybridMultilevel"/>
    <w:tmpl w:val="60E81AD0"/>
    <w:lvl w:ilvl="0" w:tplc="F8C0914A">
      <w:start w:val="1"/>
      <w:numFmt w:val="upperLetter"/>
      <w:pStyle w:val="oberkapite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45702E"/>
    <w:multiLevelType w:val="multilevel"/>
    <w:tmpl w:val="D73821D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2717571C"/>
    <w:multiLevelType w:val="hybridMultilevel"/>
    <w:tmpl w:val="1B281596"/>
    <w:lvl w:ilvl="0" w:tplc="1870DF14">
      <w:start w:val="1"/>
      <w:numFmt w:val="bullet"/>
      <w:pStyle w:val="Einzug"/>
      <w:lvlText w:val="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C07835"/>
    <w:multiLevelType w:val="hybridMultilevel"/>
    <w:tmpl w:val="910AB164"/>
    <w:lvl w:ilvl="0" w:tplc="FE082CEA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92BE1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3E4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2D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C5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427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EC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E2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58D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3B7F96"/>
    <w:multiLevelType w:val="multilevel"/>
    <w:tmpl w:val="78AA7F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F130CE1"/>
    <w:multiLevelType w:val="multilevel"/>
    <w:tmpl w:val="910AB164"/>
    <w:lvl w:ilvl="0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1A348B"/>
    <w:multiLevelType w:val="hybridMultilevel"/>
    <w:tmpl w:val="F926EAF0"/>
    <w:lvl w:ilvl="0" w:tplc="C19617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88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ACC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0D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46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E4D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0D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2A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CC1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94662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A804835"/>
    <w:multiLevelType w:val="hybridMultilevel"/>
    <w:tmpl w:val="A8FAEF78"/>
    <w:lvl w:ilvl="0" w:tplc="013A68F4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BA1432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26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23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7E8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C43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81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CDB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4A8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3277A4"/>
    <w:multiLevelType w:val="hybridMultilevel"/>
    <w:tmpl w:val="60981130"/>
    <w:lvl w:ilvl="0" w:tplc="28465BA8">
      <w:start w:val="1"/>
      <w:numFmt w:val="bullet"/>
      <w:lvlText w:val="—"/>
      <w:lvlJc w:val="left"/>
      <w:pPr>
        <w:tabs>
          <w:tab w:val="num" w:pos="510"/>
        </w:tabs>
        <w:ind w:left="2160" w:hanging="2160"/>
      </w:pPr>
      <w:rPr>
        <w:rFonts w:ascii="Arial" w:hAnsi="Arial" w:hint="default"/>
      </w:rPr>
    </w:lvl>
    <w:lvl w:ilvl="1" w:tplc="C290B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44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A7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6A2D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E42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AC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44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404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951C6D"/>
    <w:multiLevelType w:val="hybridMultilevel"/>
    <w:tmpl w:val="556216C4"/>
    <w:lvl w:ilvl="0" w:tplc="C96CEE6E">
      <w:start w:val="1"/>
      <w:numFmt w:val="bullet"/>
      <w:lvlText w:val="—"/>
      <w:lvlJc w:val="left"/>
      <w:pPr>
        <w:tabs>
          <w:tab w:val="num" w:pos="624"/>
        </w:tabs>
        <w:ind w:left="2160" w:hanging="2160"/>
      </w:pPr>
      <w:rPr>
        <w:rFonts w:ascii="Arial" w:hAnsi="Arial" w:hint="default"/>
      </w:rPr>
    </w:lvl>
    <w:lvl w:ilvl="1" w:tplc="799E3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07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C8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69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DAA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64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E8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9CC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F0755F"/>
    <w:multiLevelType w:val="multilevel"/>
    <w:tmpl w:val="D0886E9A"/>
    <w:lvl w:ilvl="0">
      <w:start w:val="1"/>
      <w:numFmt w:val="bullet"/>
      <w:lvlText w:val="—"/>
      <w:lvlJc w:val="left"/>
      <w:pPr>
        <w:tabs>
          <w:tab w:val="num" w:pos="510"/>
        </w:tabs>
        <w:ind w:left="2160" w:hanging="21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4339E9"/>
    <w:multiLevelType w:val="hybridMultilevel"/>
    <w:tmpl w:val="BEC08546"/>
    <w:lvl w:ilvl="0" w:tplc="704EF5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01B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CB3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0FE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4A3B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10E6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8CD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633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702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0F3ABE"/>
    <w:multiLevelType w:val="multilevel"/>
    <w:tmpl w:val="A0BCC032"/>
    <w:lvl w:ilvl="0">
      <w:start w:val="2"/>
      <w:numFmt w:val="decimal"/>
      <w:isLgl/>
      <w:lvlText w:val="Leistungsgruppe LG 0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Zero"/>
      <w:pStyle w:val="0101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Zero"/>
      <w:lvlText w:val="%2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47C4580"/>
    <w:multiLevelType w:val="hybridMultilevel"/>
    <w:tmpl w:val="ECD43548"/>
    <w:lvl w:ilvl="0" w:tplc="BC9C46E2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B91E5B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6C0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22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7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3E5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62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A26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7A5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B25CA9"/>
    <w:multiLevelType w:val="hybridMultilevel"/>
    <w:tmpl w:val="35ECF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44844"/>
    <w:multiLevelType w:val="hybridMultilevel"/>
    <w:tmpl w:val="570269D4"/>
    <w:lvl w:ilvl="0" w:tplc="474ED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41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14E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E4D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6D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5E9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646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63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144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841FD"/>
    <w:multiLevelType w:val="multilevel"/>
    <w:tmpl w:val="556216C4"/>
    <w:lvl w:ilvl="0">
      <w:start w:val="1"/>
      <w:numFmt w:val="bullet"/>
      <w:lvlText w:val="—"/>
      <w:lvlJc w:val="left"/>
      <w:pPr>
        <w:tabs>
          <w:tab w:val="num" w:pos="624"/>
        </w:tabs>
        <w:ind w:left="2160" w:hanging="21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4F2A27"/>
    <w:multiLevelType w:val="hybridMultilevel"/>
    <w:tmpl w:val="CCCC6B5C"/>
    <w:lvl w:ilvl="0" w:tplc="D80E322C">
      <w:start w:val="1"/>
      <w:numFmt w:val="bullet"/>
      <w:lvlText w:val="—"/>
      <w:lvlJc w:val="left"/>
      <w:pPr>
        <w:tabs>
          <w:tab w:val="num" w:pos="510"/>
        </w:tabs>
        <w:ind w:left="2160" w:hanging="2160"/>
      </w:pPr>
      <w:rPr>
        <w:rFonts w:ascii="Arial" w:hAnsi="Arial" w:hint="default"/>
      </w:rPr>
    </w:lvl>
    <w:lvl w:ilvl="1" w:tplc="1E2275D2">
      <w:start w:val="1"/>
      <w:numFmt w:val="bullet"/>
      <w:lvlText w:val="–"/>
      <w:lvlJc w:val="left"/>
      <w:pPr>
        <w:tabs>
          <w:tab w:val="num" w:pos="1021"/>
        </w:tabs>
        <w:ind w:left="907" w:hanging="397"/>
      </w:pPr>
      <w:rPr>
        <w:rFonts w:ascii="Arial" w:hAnsi="Arial" w:hint="default"/>
        <w:color w:val="auto"/>
      </w:rPr>
    </w:lvl>
    <w:lvl w:ilvl="2" w:tplc="5936E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CC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22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C27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CB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4C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63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30"/>
  </w:num>
  <w:num w:numId="16">
    <w:abstractNumId w:val="24"/>
  </w:num>
  <w:num w:numId="17">
    <w:abstractNumId w:val="32"/>
  </w:num>
  <w:num w:numId="18">
    <w:abstractNumId w:val="19"/>
  </w:num>
  <w:num w:numId="19">
    <w:abstractNumId w:val="21"/>
  </w:num>
  <w:num w:numId="20">
    <w:abstractNumId w:val="26"/>
  </w:num>
  <w:num w:numId="21">
    <w:abstractNumId w:val="33"/>
  </w:num>
  <w:num w:numId="22">
    <w:abstractNumId w:val="25"/>
  </w:num>
  <w:num w:numId="23">
    <w:abstractNumId w:val="11"/>
  </w:num>
  <w:num w:numId="24">
    <w:abstractNumId w:val="10"/>
  </w:num>
  <w:num w:numId="25">
    <w:abstractNumId w:val="27"/>
  </w:num>
  <w:num w:numId="26">
    <w:abstractNumId w:val="34"/>
  </w:num>
  <w:num w:numId="27">
    <w:abstractNumId w:val="14"/>
  </w:num>
  <w:num w:numId="28">
    <w:abstractNumId w:val="13"/>
  </w:num>
  <w:num w:numId="29">
    <w:abstractNumId w:val="29"/>
  </w:num>
  <w:num w:numId="30">
    <w:abstractNumId w:val="17"/>
  </w:num>
  <w:num w:numId="31">
    <w:abstractNumId w:val="16"/>
  </w:num>
  <w:num w:numId="32">
    <w:abstractNumId w:val="12"/>
  </w:num>
  <w:num w:numId="33">
    <w:abstractNumId w:val="18"/>
  </w:num>
  <w:num w:numId="34">
    <w:abstractNumId w:val="3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color w:val="000000"/>
      <w:sz w:val="18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0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0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Ankreuzkastln">
    <w:name w:val="Ankreuzkastln"/>
    <w:rPr>
      <w:rFonts w:ascii="Wingdings" w:hAnsi="Wingdings"/>
      <w:noProof w:val="0"/>
      <w:lang w:val="de-AT"/>
    </w:rPr>
  </w:style>
  <w:style w:type="paragraph" w:customStyle="1" w:styleId="0101">
    <w:name w:val="0101"/>
    <w:basedOn w:val="berschrift2"/>
    <w:autoRedefine/>
    <w:pPr>
      <w:keepNext w:val="0"/>
      <w:numPr>
        <w:numId w:val="29"/>
      </w:numPr>
      <w:spacing w:before="120" w:after="120"/>
      <w:jc w:val="both"/>
    </w:pPr>
    <w:rPr>
      <w:rFonts w:cs="Times New Roman"/>
      <w:i w:val="0"/>
      <w:iCs w:val="0"/>
      <w:color w:val="auto"/>
      <w:sz w:val="22"/>
      <w:szCs w:val="20"/>
    </w:rPr>
  </w:style>
  <w:style w:type="paragraph" w:customStyle="1" w:styleId="Oberkapitel0">
    <w:name w:val="Oberkapitel"/>
    <w:basedOn w:val="berschrift1"/>
    <w:pPr>
      <w:pageBreakBefore/>
      <w:spacing w:before="0" w:after="240" w:line="240" w:lineRule="atLeast"/>
    </w:pPr>
    <w:rPr>
      <w:rFonts w:cs="Times New Roman"/>
      <w:bCs w:val="0"/>
      <w:color w:val="auto"/>
      <w:spacing w:val="8"/>
      <w:kern w:val="28"/>
      <w:sz w:val="28"/>
      <w:szCs w:val="18"/>
      <w:lang w:val="de-AT" w:eastAsia="de-AT"/>
    </w:rPr>
  </w:style>
  <w:style w:type="paragraph" w:customStyle="1" w:styleId="oberkapitel">
    <w:name w:val="oberkapitel"/>
    <w:basedOn w:val="Standard"/>
    <w:autoRedefine/>
    <w:pPr>
      <w:numPr>
        <w:numId w:val="31"/>
      </w:numPr>
      <w:spacing w:line="240" w:lineRule="atLeast"/>
    </w:pPr>
    <w:rPr>
      <w:b/>
      <w:color w:val="auto"/>
      <w:spacing w:val="8"/>
      <w:sz w:val="28"/>
      <w:szCs w:val="18"/>
      <w:lang w:val="de-AT"/>
    </w:rPr>
  </w:style>
  <w:style w:type="paragraph" w:customStyle="1" w:styleId="verzeichnis0">
    <w:name w:val="verzeichnis 0"/>
    <w:basedOn w:val="Verzeichnis1"/>
    <w:autoRedefine/>
    <w:pPr>
      <w:tabs>
        <w:tab w:val="left" w:pos="720"/>
        <w:tab w:val="right" w:leader="dot" w:pos="7643"/>
      </w:tabs>
      <w:spacing w:before="240" w:line="240" w:lineRule="atLeast"/>
      <w:ind w:left="624" w:hanging="624"/>
    </w:pPr>
    <w:rPr>
      <w:smallCaps/>
      <w:noProof/>
      <w:color w:val="auto"/>
      <w:spacing w:val="8"/>
      <w:sz w:val="22"/>
      <w:szCs w:val="22"/>
    </w:rPr>
  </w:style>
  <w:style w:type="paragraph" w:styleId="Verzeichnis1">
    <w:name w:val="toc 1"/>
    <w:basedOn w:val="Standard"/>
    <w:next w:val="Standard"/>
    <w:autoRedefine/>
    <w:semiHidden/>
  </w:style>
  <w:style w:type="paragraph" w:customStyle="1" w:styleId="berschrift3">
    <w:name w:val="Überschrift3"/>
    <w:basedOn w:val="berschrift30"/>
    <w:next w:val="Standard"/>
    <w:autoRedefine/>
    <w:pPr>
      <w:keepNext w:val="0"/>
      <w:numPr>
        <w:ilvl w:val="2"/>
        <w:numId w:val="32"/>
      </w:numPr>
      <w:spacing w:before="100" w:beforeAutospacing="1" w:after="100" w:afterAutospacing="1"/>
    </w:pPr>
    <w:rPr>
      <w:rFonts w:ascii="Verdana" w:hAnsi="Verdana" w:cs="Times New Roman"/>
      <w:color w:val="auto"/>
      <w:sz w:val="22"/>
      <w:szCs w:val="27"/>
      <w:u w:val="single"/>
      <w:lang w:eastAsia="de-DE"/>
    </w:rPr>
  </w:style>
  <w:style w:type="paragraph" w:customStyle="1" w:styleId="Text">
    <w:name w:val="Text"/>
    <w:basedOn w:val="Standard"/>
    <w:autoRedefine/>
    <w:pPr>
      <w:spacing w:before="120" w:after="120" w:line="280" w:lineRule="atLeast"/>
    </w:pPr>
    <w:rPr>
      <w:color w:val="auto"/>
      <w:sz w:val="22"/>
      <w:szCs w:val="24"/>
      <w:lang w:val="de-AT" w:eastAsia="de-AT"/>
    </w:rPr>
  </w:style>
  <w:style w:type="paragraph" w:customStyle="1" w:styleId="Bildberschrift">
    <w:name w:val="Bildüberschrift"/>
    <w:basedOn w:val="Standard"/>
    <w:pPr>
      <w:spacing w:after="120"/>
      <w:jc w:val="both"/>
    </w:pPr>
    <w:rPr>
      <w:b/>
      <w:i/>
      <w:sz w:val="22"/>
      <w:szCs w:val="22"/>
    </w:rPr>
  </w:style>
  <w:style w:type="paragraph" w:customStyle="1" w:styleId="Einzug">
    <w:name w:val="Einzug"/>
    <w:basedOn w:val="Standard"/>
    <w:pPr>
      <w:numPr>
        <w:numId w:val="3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color w:val="000000"/>
      <w:sz w:val="18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0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0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Ankreuzkastln">
    <w:name w:val="Ankreuzkastln"/>
    <w:rPr>
      <w:rFonts w:ascii="Wingdings" w:hAnsi="Wingdings"/>
      <w:noProof w:val="0"/>
      <w:lang w:val="de-AT"/>
    </w:rPr>
  </w:style>
  <w:style w:type="paragraph" w:customStyle="1" w:styleId="0101">
    <w:name w:val="0101"/>
    <w:basedOn w:val="berschrift2"/>
    <w:autoRedefine/>
    <w:pPr>
      <w:keepNext w:val="0"/>
      <w:numPr>
        <w:numId w:val="29"/>
      </w:numPr>
      <w:spacing w:before="120" w:after="120"/>
      <w:jc w:val="both"/>
    </w:pPr>
    <w:rPr>
      <w:rFonts w:cs="Times New Roman"/>
      <w:i w:val="0"/>
      <w:iCs w:val="0"/>
      <w:color w:val="auto"/>
      <w:sz w:val="22"/>
      <w:szCs w:val="20"/>
    </w:rPr>
  </w:style>
  <w:style w:type="paragraph" w:customStyle="1" w:styleId="Oberkapitel0">
    <w:name w:val="Oberkapitel"/>
    <w:basedOn w:val="berschrift1"/>
    <w:pPr>
      <w:pageBreakBefore/>
      <w:spacing w:before="0" w:after="240" w:line="240" w:lineRule="atLeast"/>
    </w:pPr>
    <w:rPr>
      <w:rFonts w:cs="Times New Roman"/>
      <w:bCs w:val="0"/>
      <w:color w:val="auto"/>
      <w:spacing w:val="8"/>
      <w:kern w:val="28"/>
      <w:sz w:val="28"/>
      <w:szCs w:val="18"/>
      <w:lang w:val="de-AT" w:eastAsia="de-AT"/>
    </w:rPr>
  </w:style>
  <w:style w:type="paragraph" w:customStyle="1" w:styleId="oberkapitel">
    <w:name w:val="oberkapitel"/>
    <w:basedOn w:val="Standard"/>
    <w:autoRedefine/>
    <w:pPr>
      <w:numPr>
        <w:numId w:val="31"/>
      </w:numPr>
      <w:spacing w:line="240" w:lineRule="atLeast"/>
    </w:pPr>
    <w:rPr>
      <w:b/>
      <w:color w:val="auto"/>
      <w:spacing w:val="8"/>
      <w:sz w:val="28"/>
      <w:szCs w:val="18"/>
      <w:lang w:val="de-AT"/>
    </w:rPr>
  </w:style>
  <w:style w:type="paragraph" w:customStyle="1" w:styleId="verzeichnis0">
    <w:name w:val="verzeichnis 0"/>
    <w:basedOn w:val="Verzeichnis1"/>
    <w:autoRedefine/>
    <w:pPr>
      <w:tabs>
        <w:tab w:val="left" w:pos="720"/>
        <w:tab w:val="right" w:leader="dot" w:pos="7643"/>
      </w:tabs>
      <w:spacing w:before="240" w:line="240" w:lineRule="atLeast"/>
      <w:ind w:left="624" w:hanging="624"/>
    </w:pPr>
    <w:rPr>
      <w:smallCaps/>
      <w:noProof/>
      <w:color w:val="auto"/>
      <w:spacing w:val="8"/>
      <w:sz w:val="22"/>
      <w:szCs w:val="22"/>
    </w:rPr>
  </w:style>
  <w:style w:type="paragraph" w:styleId="Verzeichnis1">
    <w:name w:val="toc 1"/>
    <w:basedOn w:val="Standard"/>
    <w:next w:val="Standard"/>
    <w:autoRedefine/>
    <w:semiHidden/>
  </w:style>
  <w:style w:type="paragraph" w:customStyle="1" w:styleId="berschrift3">
    <w:name w:val="Überschrift3"/>
    <w:basedOn w:val="berschrift30"/>
    <w:next w:val="Standard"/>
    <w:autoRedefine/>
    <w:pPr>
      <w:keepNext w:val="0"/>
      <w:numPr>
        <w:ilvl w:val="2"/>
        <w:numId w:val="32"/>
      </w:numPr>
      <w:spacing w:before="100" w:beforeAutospacing="1" w:after="100" w:afterAutospacing="1"/>
    </w:pPr>
    <w:rPr>
      <w:rFonts w:ascii="Verdana" w:hAnsi="Verdana" w:cs="Times New Roman"/>
      <w:color w:val="auto"/>
      <w:sz w:val="22"/>
      <w:szCs w:val="27"/>
      <w:u w:val="single"/>
      <w:lang w:eastAsia="de-DE"/>
    </w:rPr>
  </w:style>
  <w:style w:type="paragraph" w:customStyle="1" w:styleId="Text">
    <w:name w:val="Text"/>
    <w:basedOn w:val="Standard"/>
    <w:autoRedefine/>
    <w:pPr>
      <w:spacing w:before="120" w:after="120" w:line="280" w:lineRule="atLeast"/>
    </w:pPr>
    <w:rPr>
      <w:color w:val="auto"/>
      <w:sz w:val="22"/>
      <w:szCs w:val="24"/>
      <w:lang w:val="de-AT" w:eastAsia="de-AT"/>
    </w:rPr>
  </w:style>
  <w:style w:type="paragraph" w:customStyle="1" w:styleId="Bildberschrift">
    <w:name w:val="Bildüberschrift"/>
    <w:basedOn w:val="Standard"/>
    <w:pPr>
      <w:spacing w:after="120"/>
      <w:jc w:val="both"/>
    </w:pPr>
    <w:rPr>
      <w:b/>
      <w:i/>
      <w:sz w:val="22"/>
      <w:szCs w:val="22"/>
    </w:rPr>
  </w:style>
  <w:style w:type="paragraph" w:customStyle="1" w:styleId="Einzug">
    <w:name w:val="Einzug"/>
    <w:basedOn w:val="Standard"/>
    <w:pPr>
      <w:numPr>
        <w:numId w:val="3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Fdsg</vt:lpstr>
    </vt:vector>
  </TitlesOfParts>
  <Company>Knoll - Planung &amp; Beratung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Fdsg</dc:title>
  <dc:creator>DI Thomas Knoll (05)</dc:creator>
  <cp:lastModifiedBy>Ruland Christina (RU2)</cp:lastModifiedBy>
  <cp:revision>3</cp:revision>
  <cp:lastPrinted>2017-03-07T10:25:00Z</cp:lastPrinted>
  <dcterms:created xsi:type="dcterms:W3CDTF">2017-03-24T10:19:00Z</dcterms:created>
  <dcterms:modified xsi:type="dcterms:W3CDTF">2017-04-21T06:07:00Z</dcterms:modified>
</cp:coreProperties>
</file>